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5EC69" w14:textId="77777777" w:rsidR="0080121E" w:rsidRPr="00232BD7" w:rsidRDefault="0080121E" w:rsidP="00232BD7">
      <w:pPr>
        <w:jc w:val="center"/>
        <w:rPr>
          <w:rFonts w:ascii="Arial" w:hAnsi="Arial" w:cs="Arial"/>
          <w:b/>
          <w:u w:val="single"/>
          <w:lang w:val="de-CH"/>
        </w:rPr>
      </w:pPr>
      <w:r w:rsidRPr="00232BD7">
        <w:rPr>
          <w:rFonts w:ascii="Arial" w:hAnsi="Arial" w:cs="Arial"/>
          <w:b/>
          <w:u w:val="single"/>
          <w:lang w:val="de-CH"/>
        </w:rPr>
        <w:t>ALLGEMEINE GESCHÄFTSBEDINGUNGEN</w:t>
      </w:r>
    </w:p>
    <w:p w14:paraId="43AB561B" w14:textId="77777777" w:rsidR="0080121E" w:rsidRPr="00232BD7" w:rsidRDefault="0080121E" w:rsidP="00232BD7">
      <w:pPr>
        <w:tabs>
          <w:tab w:val="left" w:pos="567"/>
          <w:tab w:val="left" w:pos="851"/>
        </w:tabs>
        <w:rPr>
          <w:rFonts w:ascii="Arial" w:hAnsi="Arial" w:cs="Arial"/>
          <w:lang w:val="de-CH"/>
        </w:rPr>
      </w:pPr>
    </w:p>
    <w:p w14:paraId="1F131B1C" w14:textId="2AD1FD2E" w:rsidR="0080121E" w:rsidRPr="00232BD7" w:rsidRDefault="0080121E" w:rsidP="00232BD7">
      <w:pPr>
        <w:tabs>
          <w:tab w:val="left" w:pos="567"/>
          <w:tab w:val="left" w:pos="851"/>
        </w:tabs>
        <w:rPr>
          <w:rFonts w:ascii="Arial" w:hAnsi="Arial" w:cs="Arial"/>
          <w:lang w:val="de-CH"/>
        </w:rPr>
      </w:pPr>
      <w:r w:rsidRPr="00232BD7">
        <w:rPr>
          <w:rFonts w:ascii="Arial" w:hAnsi="Arial" w:cs="Arial"/>
          <w:lang w:val="de-CH"/>
        </w:rPr>
        <w:t xml:space="preserve">Diese Allgemeinen Geschäftsbedingungen unterliegen dem Arbeitsvermittlungsgesetz (AVG), dem Obligationenrecht (OR) und </w:t>
      </w:r>
      <w:r w:rsidR="002D2083" w:rsidRPr="00232BD7">
        <w:rPr>
          <w:rFonts w:ascii="Arial" w:hAnsi="Arial" w:cs="Arial"/>
          <w:lang w:val="de-CH"/>
        </w:rPr>
        <w:t>der Zivilprozessordnung (ZPO</w:t>
      </w:r>
      <w:r w:rsidRPr="00232BD7">
        <w:rPr>
          <w:rFonts w:ascii="Arial" w:hAnsi="Arial" w:cs="Arial"/>
          <w:lang w:val="de-CH"/>
        </w:rPr>
        <w:t xml:space="preserve">). Die zuständige Bewilligungsbehörde ist das </w:t>
      </w:r>
      <w:r w:rsidRPr="00232BD7">
        <w:rPr>
          <w:rFonts w:ascii="Arial" w:hAnsi="Arial" w:cs="Arial"/>
          <w:i/>
          <w:lang w:val="de-CH"/>
        </w:rPr>
        <w:t>Amt für Wirtschaft und Arbeit</w:t>
      </w:r>
      <w:r w:rsidR="000E2C70" w:rsidRPr="00232BD7">
        <w:rPr>
          <w:rFonts w:ascii="Arial" w:hAnsi="Arial" w:cs="Arial"/>
          <w:i/>
          <w:lang w:val="de-CH"/>
        </w:rPr>
        <w:t xml:space="preserve"> des Kantons </w:t>
      </w:r>
      <w:r w:rsidR="003711C3" w:rsidRPr="00232BD7">
        <w:rPr>
          <w:rFonts w:ascii="Arial" w:hAnsi="Arial" w:cs="Arial"/>
          <w:i/>
          <w:lang w:val="de-CH"/>
        </w:rPr>
        <w:t>XX in XX</w:t>
      </w:r>
      <w:r w:rsidRPr="00232BD7">
        <w:rPr>
          <w:rFonts w:ascii="Arial" w:hAnsi="Arial" w:cs="Arial"/>
          <w:i/>
          <w:lang w:val="de-CH"/>
        </w:rPr>
        <w:t xml:space="preserve"> </w:t>
      </w:r>
      <w:r w:rsidRPr="00232BD7">
        <w:rPr>
          <w:rFonts w:ascii="Arial" w:hAnsi="Arial" w:cs="Arial"/>
          <w:lang w:val="de-CH"/>
        </w:rPr>
        <w:t xml:space="preserve">und das </w:t>
      </w:r>
      <w:proofErr w:type="spellStart"/>
      <w:r w:rsidRPr="00232BD7">
        <w:rPr>
          <w:rFonts w:ascii="Arial" w:hAnsi="Arial" w:cs="Arial"/>
          <w:i/>
          <w:lang w:val="de-CH"/>
        </w:rPr>
        <w:t>seco</w:t>
      </w:r>
      <w:proofErr w:type="spellEnd"/>
      <w:r w:rsidRPr="00232BD7">
        <w:rPr>
          <w:rFonts w:ascii="Arial" w:hAnsi="Arial" w:cs="Arial"/>
          <w:i/>
          <w:lang w:val="de-CH"/>
        </w:rPr>
        <w:t xml:space="preserve">, Direktion für Arbeit, </w:t>
      </w:r>
      <w:proofErr w:type="spellStart"/>
      <w:r w:rsidR="000E2C70" w:rsidRPr="00232BD7">
        <w:rPr>
          <w:rFonts w:ascii="Arial" w:hAnsi="Arial" w:cs="Arial"/>
          <w:i/>
          <w:lang w:val="de-CH"/>
        </w:rPr>
        <w:t>Holzikofenweg</w:t>
      </w:r>
      <w:proofErr w:type="spellEnd"/>
      <w:r w:rsidR="000E2C70" w:rsidRPr="00232BD7">
        <w:rPr>
          <w:rFonts w:ascii="Arial" w:hAnsi="Arial" w:cs="Arial"/>
          <w:i/>
          <w:lang w:val="de-CH"/>
        </w:rPr>
        <w:t xml:space="preserve"> 36</w:t>
      </w:r>
      <w:r w:rsidRPr="00232BD7">
        <w:rPr>
          <w:rFonts w:ascii="Arial" w:hAnsi="Arial" w:cs="Arial"/>
          <w:i/>
          <w:lang w:val="de-CH"/>
        </w:rPr>
        <w:t>, 3003 Bern</w:t>
      </w:r>
      <w:r w:rsidRPr="00232BD7">
        <w:rPr>
          <w:rFonts w:ascii="Arial" w:hAnsi="Arial" w:cs="Arial"/>
          <w:lang w:val="de-CH"/>
        </w:rPr>
        <w:t>.</w:t>
      </w:r>
    </w:p>
    <w:p w14:paraId="3B03B7B8" w14:textId="77777777" w:rsidR="0080121E" w:rsidRPr="00232BD7" w:rsidRDefault="0080121E" w:rsidP="00232BD7">
      <w:pPr>
        <w:numPr>
          <w:ilvl w:val="12"/>
          <w:numId w:val="0"/>
        </w:numPr>
        <w:tabs>
          <w:tab w:val="left" w:pos="567"/>
          <w:tab w:val="left" w:pos="851"/>
        </w:tabs>
        <w:ind w:left="283" w:hanging="283"/>
        <w:rPr>
          <w:rFonts w:ascii="Arial" w:hAnsi="Arial" w:cs="Arial"/>
          <w:sz w:val="18"/>
          <w:szCs w:val="18"/>
          <w:lang w:val="de-CH"/>
        </w:rPr>
      </w:pPr>
    </w:p>
    <w:p w14:paraId="18ABF0AD" w14:textId="77777777" w:rsidR="0080121E" w:rsidRPr="00232BD7" w:rsidRDefault="0080121E" w:rsidP="00232BD7">
      <w:pPr>
        <w:numPr>
          <w:ilvl w:val="0"/>
          <w:numId w:val="1"/>
        </w:numPr>
        <w:tabs>
          <w:tab w:val="left" w:pos="567"/>
          <w:tab w:val="left" w:pos="851"/>
        </w:tabs>
        <w:rPr>
          <w:rFonts w:ascii="Arial" w:hAnsi="Arial" w:cs="Arial"/>
          <w:lang w:val="de-CH"/>
        </w:rPr>
      </w:pPr>
      <w:r w:rsidRPr="00232BD7">
        <w:rPr>
          <w:rFonts w:ascii="Arial" w:hAnsi="Arial" w:cs="Arial"/>
          <w:lang w:val="de-CH"/>
        </w:rPr>
        <w:t>Die Allgemeinen Geschäftsbedingungen bilden einen integrierenden Bestandteil des Verleihvertrages. Sie treten mit jedem Vertragsabschluss automatisch in Kraft. Die Einsatzfirma anerkennt diese allgemeinen Geschäftsbedingungen als verbindlich. Ist sie damit nicht einverstanden, so hat sie uns sofort davon Mitteilung zu machen; in diesem Fall wird unser Mitarbeiter zurückgerufen und der Vertrag annulliert.</w:t>
      </w:r>
    </w:p>
    <w:p w14:paraId="173CE6BB" w14:textId="77777777" w:rsidR="0080121E" w:rsidRPr="00232BD7" w:rsidRDefault="0080121E" w:rsidP="00232BD7">
      <w:pPr>
        <w:tabs>
          <w:tab w:val="left" w:pos="567"/>
          <w:tab w:val="left" w:pos="851"/>
        </w:tabs>
        <w:rPr>
          <w:rFonts w:ascii="Arial" w:hAnsi="Arial" w:cs="Arial"/>
          <w:sz w:val="18"/>
          <w:szCs w:val="18"/>
          <w:lang w:val="de-CH"/>
        </w:rPr>
      </w:pPr>
    </w:p>
    <w:p w14:paraId="166C4B29" w14:textId="77777777" w:rsidR="0080121E" w:rsidRPr="00232BD7" w:rsidRDefault="0080121E" w:rsidP="00232BD7">
      <w:pPr>
        <w:numPr>
          <w:ilvl w:val="0"/>
          <w:numId w:val="2"/>
        </w:numPr>
        <w:tabs>
          <w:tab w:val="left" w:pos="567"/>
          <w:tab w:val="left" w:pos="851"/>
        </w:tabs>
        <w:rPr>
          <w:rFonts w:ascii="Arial" w:hAnsi="Arial" w:cs="Arial"/>
          <w:lang w:val="de-CH"/>
        </w:rPr>
      </w:pPr>
      <w:r w:rsidRPr="00232BD7">
        <w:rPr>
          <w:rFonts w:ascii="Arial" w:hAnsi="Arial" w:cs="Arial"/>
          <w:lang w:val="de-CH"/>
        </w:rPr>
        <w:t xml:space="preserve">Unser temporäres Personal ist sorgfältig ausgesucht und darf ausschliesslich für die vereinbarte Tätigkeit eingesetzt werden. Der Kunde verpflichtet sich, für die Arbeitssicherheit besorgt zu sein und die Bestimmungen des Arbeitsgesetzes einzuhalten. Untersteht die Kundenfirma einem allgemeinverbindlichen Arbeitsvertrag, so müssen wir bei Auftragserteilung darüber informiert werden. Die gesamtarbeitsvertraglichen Arbeitszeitregelungen kommen auch für unser </w:t>
      </w:r>
      <w:proofErr w:type="spellStart"/>
      <w:r w:rsidRPr="00232BD7">
        <w:rPr>
          <w:rFonts w:ascii="Arial" w:hAnsi="Arial" w:cs="Arial"/>
          <w:lang w:val="de-CH"/>
        </w:rPr>
        <w:t>Temporärpersonal</w:t>
      </w:r>
      <w:proofErr w:type="spellEnd"/>
      <w:r w:rsidRPr="00232BD7">
        <w:rPr>
          <w:rFonts w:ascii="Arial" w:hAnsi="Arial" w:cs="Arial"/>
          <w:lang w:val="de-CH"/>
        </w:rPr>
        <w:t xml:space="preserve"> zur Anwendung.</w:t>
      </w:r>
    </w:p>
    <w:p w14:paraId="538C1259" w14:textId="77777777" w:rsidR="0080121E" w:rsidRPr="00232BD7" w:rsidRDefault="0080121E" w:rsidP="00232BD7">
      <w:pPr>
        <w:numPr>
          <w:ilvl w:val="12"/>
          <w:numId w:val="0"/>
        </w:numPr>
        <w:tabs>
          <w:tab w:val="left" w:pos="567"/>
          <w:tab w:val="left" w:pos="851"/>
        </w:tabs>
        <w:ind w:left="283" w:hanging="283"/>
        <w:rPr>
          <w:rFonts w:ascii="Arial" w:hAnsi="Arial" w:cs="Arial"/>
          <w:sz w:val="18"/>
          <w:szCs w:val="18"/>
          <w:lang w:val="de-CH"/>
        </w:rPr>
      </w:pPr>
    </w:p>
    <w:p w14:paraId="3FA8D1D9" w14:textId="5AEA5F90" w:rsidR="0080121E" w:rsidRPr="00232BD7" w:rsidRDefault="0080121E" w:rsidP="00232BD7">
      <w:pPr>
        <w:numPr>
          <w:ilvl w:val="0"/>
          <w:numId w:val="3"/>
        </w:numPr>
        <w:tabs>
          <w:tab w:val="left" w:pos="567"/>
          <w:tab w:val="left" w:pos="851"/>
        </w:tabs>
        <w:rPr>
          <w:rFonts w:ascii="Arial" w:hAnsi="Arial" w:cs="Arial"/>
          <w:lang w:val="de-CH"/>
        </w:rPr>
      </w:pPr>
      <w:r w:rsidRPr="00232BD7">
        <w:rPr>
          <w:rFonts w:ascii="Arial" w:hAnsi="Arial" w:cs="Arial"/>
          <w:lang w:val="de-CH"/>
        </w:rPr>
        <w:t xml:space="preserve">Der Temporäre Mitarbeiter ist verpflichtet, die internen Vorschriften des Kundenbetriebes zu </w:t>
      </w:r>
      <w:proofErr w:type="spellStart"/>
      <w:r w:rsidRPr="00232BD7">
        <w:rPr>
          <w:rFonts w:ascii="Arial" w:hAnsi="Arial" w:cs="Arial"/>
          <w:lang w:val="de-CH"/>
        </w:rPr>
        <w:t>re</w:t>
      </w:r>
      <w:proofErr w:type="spellEnd"/>
      <w:r w:rsidR="00A74605">
        <w:rPr>
          <w:rFonts w:ascii="Arial" w:hAnsi="Arial" w:cs="Arial"/>
          <w:lang w:val="de-CH"/>
        </w:rPr>
        <w:t>-</w:t>
      </w:r>
      <w:r w:rsidR="00A74605">
        <w:rPr>
          <w:rFonts w:ascii="Arial" w:hAnsi="Arial" w:cs="Arial"/>
          <w:lang w:val="de-CH"/>
        </w:rPr>
        <w:br/>
      </w:r>
      <w:proofErr w:type="spellStart"/>
      <w:r w:rsidR="00A74605">
        <w:rPr>
          <w:rFonts w:ascii="Arial" w:hAnsi="Arial" w:cs="Arial"/>
          <w:lang w:val="de-CH"/>
        </w:rPr>
        <w:t>s</w:t>
      </w:r>
      <w:r w:rsidRPr="00232BD7">
        <w:rPr>
          <w:rFonts w:ascii="Arial" w:hAnsi="Arial" w:cs="Arial"/>
          <w:lang w:val="de-CH"/>
        </w:rPr>
        <w:t>pektieren</w:t>
      </w:r>
      <w:proofErr w:type="spellEnd"/>
      <w:r w:rsidRPr="00232BD7">
        <w:rPr>
          <w:rFonts w:ascii="Arial" w:hAnsi="Arial" w:cs="Arial"/>
          <w:lang w:val="de-CH"/>
        </w:rPr>
        <w:t>. Er hat sich vertraglich verpflichtet, über alles, was ihm im Verlaufe seines Einsatzes beim Kunden zur Kenntnis gelangt, strengstes Stillschweigen zu bewahren. Der Temporäre Mitarbeiter unterliegt den Weisungen des Kunden, er untersteht seiner Aufsicht und Verantwortung. Wir lehnen grundsätzlich jegliche Haftung ab für Schäden, die durch einen Temporären Mitarbeiter verursacht werden. Es gelten die Bestimmungen des OR, namentlich OR 55, 100 und 101.</w:t>
      </w:r>
    </w:p>
    <w:p w14:paraId="4A8752CA" w14:textId="77777777" w:rsidR="0080121E" w:rsidRPr="00232BD7" w:rsidRDefault="0080121E" w:rsidP="00232BD7">
      <w:pPr>
        <w:numPr>
          <w:ilvl w:val="12"/>
          <w:numId w:val="0"/>
        </w:numPr>
        <w:tabs>
          <w:tab w:val="left" w:pos="567"/>
          <w:tab w:val="left" w:pos="851"/>
        </w:tabs>
        <w:ind w:left="283" w:hanging="283"/>
        <w:rPr>
          <w:rFonts w:ascii="Arial" w:hAnsi="Arial" w:cs="Arial"/>
          <w:sz w:val="18"/>
          <w:szCs w:val="18"/>
          <w:lang w:val="de-CH"/>
        </w:rPr>
      </w:pPr>
    </w:p>
    <w:p w14:paraId="447FEADF" w14:textId="77777777" w:rsidR="0080121E" w:rsidRPr="00B236DD" w:rsidRDefault="0080121E" w:rsidP="00B236DD">
      <w:pPr>
        <w:numPr>
          <w:ilvl w:val="0"/>
          <w:numId w:val="4"/>
        </w:numPr>
        <w:shd w:val="clear" w:color="auto" w:fill="FFFFFF"/>
        <w:tabs>
          <w:tab w:val="left" w:pos="567"/>
          <w:tab w:val="left" w:pos="851"/>
        </w:tabs>
        <w:rPr>
          <w:rFonts w:ascii="Arial" w:hAnsi="Arial" w:cs="Arial"/>
          <w:lang w:val="de-CH"/>
        </w:rPr>
      </w:pPr>
      <w:r w:rsidRPr="00B236DD">
        <w:rPr>
          <w:rFonts w:ascii="Arial" w:hAnsi="Arial" w:cs="Arial"/>
          <w:lang w:val="de-CH"/>
        </w:rPr>
        <w:t xml:space="preserve">Der Temporäre Mitarbeiter soll die im Kundenbetrieb gültigen Arbeitszeiten einhalten. Als Überstunden gelten diejenigen Stunden, die über die </w:t>
      </w:r>
      <w:r w:rsidR="000E2C70" w:rsidRPr="00B236DD">
        <w:rPr>
          <w:rFonts w:ascii="Arial" w:hAnsi="Arial" w:cs="Arial"/>
          <w:lang w:val="de-CH"/>
        </w:rPr>
        <w:t>im Einsatzvertrag vereinbarte Arbeitszeit</w:t>
      </w:r>
      <w:r w:rsidRPr="00B236DD">
        <w:rPr>
          <w:rFonts w:ascii="Arial" w:hAnsi="Arial" w:cs="Arial"/>
          <w:lang w:val="de-CH"/>
        </w:rPr>
        <w:t xml:space="preserve"> hinausgehen</w:t>
      </w:r>
      <w:r w:rsidR="00A20DA3">
        <w:rPr>
          <w:rFonts w:ascii="Arial" w:hAnsi="Arial" w:cs="Arial"/>
          <w:lang w:val="de-CH"/>
        </w:rPr>
        <w:t>; s</w:t>
      </w:r>
      <w:r w:rsidRPr="00B236DD">
        <w:rPr>
          <w:rFonts w:ascii="Arial" w:hAnsi="Arial" w:cs="Arial"/>
          <w:lang w:val="de-CH"/>
        </w:rPr>
        <w:t>ie werden gemäss dem Reglement der Kundenfirma entschädigt und müssen auf dem Arbeitsrapport separat aufgeführt und mit dem entsprechenden prozentualen Zuschlag erwähnt werden. Der Kunde ist verantwortlich für die Einhaltung der Weisungen und gesetzlichen Bestimmungen über die Arbeitssicherheit und den Gesundheitsschutz.</w:t>
      </w:r>
    </w:p>
    <w:p w14:paraId="7A623E88" w14:textId="77777777" w:rsidR="0080121E" w:rsidRPr="00B236DD" w:rsidRDefault="0080121E" w:rsidP="00B236DD">
      <w:pPr>
        <w:shd w:val="clear" w:color="auto" w:fill="FFFFFF"/>
        <w:tabs>
          <w:tab w:val="left" w:pos="567"/>
          <w:tab w:val="left" w:pos="851"/>
        </w:tabs>
        <w:rPr>
          <w:rFonts w:ascii="Arial" w:hAnsi="Arial" w:cs="Arial"/>
          <w:sz w:val="18"/>
          <w:szCs w:val="18"/>
          <w:lang w:val="de-CH"/>
        </w:rPr>
      </w:pPr>
    </w:p>
    <w:p w14:paraId="2605D939" w14:textId="77777777" w:rsidR="0080121E" w:rsidRPr="00232BD7" w:rsidRDefault="0080121E" w:rsidP="00B236DD">
      <w:pPr>
        <w:numPr>
          <w:ilvl w:val="0"/>
          <w:numId w:val="5"/>
        </w:numPr>
        <w:shd w:val="clear" w:color="auto" w:fill="FFFFFF"/>
        <w:tabs>
          <w:tab w:val="left" w:pos="567"/>
          <w:tab w:val="left" w:pos="851"/>
        </w:tabs>
        <w:rPr>
          <w:rFonts w:ascii="Arial" w:hAnsi="Arial" w:cs="Arial"/>
          <w:lang w:val="de-CH"/>
        </w:rPr>
      </w:pPr>
      <w:r w:rsidRPr="00B236DD">
        <w:rPr>
          <w:rFonts w:ascii="Arial" w:hAnsi="Arial" w:cs="Arial"/>
          <w:lang w:val="de-CH"/>
        </w:rPr>
        <w:t>Der Kunde hat sich zu Beginn des Einsatzes zu überzeugen, dass der Temporäre Mitarbeiter den</w:t>
      </w:r>
      <w:r w:rsidRPr="00232BD7">
        <w:rPr>
          <w:rFonts w:ascii="Arial" w:hAnsi="Arial" w:cs="Arial"/>
          <w:lang w:val="de-CH"/>
        </w:rPr>
        <w:t xml:space="preserve"> Anforderungen entspricht. Sollte dies nicht der Fall sein, müssen wir unverzüglich informiert werden. Die ersten vier Stunden eines solchen Einsatzes werden Ihnen nicht verrechnet. Sofern möglich, werden wir Ihnen sofort Ersatz anbieten.</w:t>
      </w:r>
    </w:p>
    <w:p w14:paraId="496B3640" w14:textId="77777777" w:rsidR="0080121E" w:rsidRPr="00232BD7" w:rsidRDefault="0080121E" w:rsidP="00232BD7">
      <w:pPr>
        <w:numPr>
          <w:ilvl w:val="12"/>
          <w:numId w:val="0"/>
        </w:numPr>
        <w:tabs>
          <w:tab w:val="left" w:pos="567"/>
          <w:tab w:val="left" w:pos="851"/>
        </w:tabs>
        <w:ind w:left="283" w:hanging="283"/>
        <w:rPr>
          <w:rFonts w:ascii="Arial" w:hAnsi="Arial" w:cs="Arial"/>
          <w:sz w:val="18"/>
          <w:szCs w:val="18"/>
          <w:lang w:val="de-CH"/>
        </w:rPr>
      </w:pPr>
    </w:p>
    <w:p w14:paraId="310D0739" w14:textId="0C18FB40" w:rsidR="0080121E" w:rsidRPr="00232BD7" w:rsidRDefault="0080121E" w:rsidP="00232BD7">
      <w:pPr>
        <w:numPr>
          <w:ilvl w:val="0"/>
          <w:numId w:val="6"/>
        </w:numPr>
        <w:tabs>
          <w:tab w:val="left" w:pos="567"/>
          <w:tab w:val="left" w:pos="851"/>
        </w:tabs>
        <w:rPr>
          <w:rFonts w:ascii="Arial" w:hAnsi="Arial" w:cs="Arial"/>
          <w:lang w:val="de-CH"/>
        </w:rPr>
      </w:pPr>
      <w:r w:rsidRPr="00232BD7">
        <w:rPr>
          <w:rFonts w:ascii="Arial" w:hAnsi="Arial" w:cs="Arial"/>
          <w:lang w:val="de-CH"/>
        </w:rPr>
        <w:t xml:space="preserve">Wir entlöhnen unsere Temporären Mitarbeiter auf Grund des wöchentlichen Arbeitsrapportes. Der Arbeitsrapport besteht entweder als gedrucktes Papierformular oder als für den Kunden jederzeit zugängliches, passwortgeschütztes und in einer Web- Applikation gespeichertes Online- Formular. Die Validierung der Einsatzstunden erfolgt entweder mittels Unterschrift auf dem Papierformular oder online, durch Eintrag im Web- Formular. Auf </w:t>
      </w:r>
      <w:r w:rsidR="00A74605" w:rsidRPr="00232BD7">
        <w:rPr>
          <w:rFonts w:ascii="Arial" w:hAnsi="Arial" w:cs="Arial"/>
          <w:lang w:val="de-CH"/>
        </w:rPr>
        <w:t>keinen</w:t>
      </w:r>
      <w:r w:rsidRPr="00232BD7">
        <w:rPr>
          <w:rFonts w:ascii="Arial" w:hAnsi="Arial" w:cs="Arial"/>
          <w:lang w:val="de-CH"/>
        </w:rPr>
        <w:t xml:space="preserve"> Fall ist der Temporäre Mitarbeiter befugt, vom Kunden Zahlungen entgegenzunehmen. Irgendwelche direkte Abmachungen mit unserem Mitarbeiter sind unzulässig und für uns nicht verbindlich.</w:t>
      </w:r>
    </w:p>
    <w:p w14:paraId="5BDAE49B" w14:textId="77777777" w:rsidR="0080121E" w:rsidRPr="00232BD7" w:rsidRDefault="0080121E" w:rsidP="00232BD7">
      <w:pPr>
        <w:numPr>
          <w:ilvl w:val="12"/>
          <w:numId w:val="0"/>
        </w:numPr>
        <w:tabs>
          <w:tab w:val="left" w:pos="567"/>
          <w:tab w:val="left" w:pos="851"/>
        </w:tabs>
        <w:ind w:left="283" w:hanging="283"/>
        <w:rPr>
          <w:rFonts w:ascii="Arial" w:hAnsi="Arial" w:cs="Arial"/>
          <w:sz w:val="18"/>
          <w:szCs w:val="18"/>
          <w:lang w:val="de-CH"/>
        </w:rPr>
      </w:pPr>
    </w:p>
    <w:p w14:paraId="7780F269" w14:textId="77777777" w:rsidR="0080121E" w:rsidRPr="00232BD7" w:rsidRDefault="0080121E" w:rsidP="00232BD7">
      <w:pPr>
        <w:numPr>
          <w:ilvl w:val="0"/>
          <w:numId w:val="7"/>
        </w:numPr>
        <w:tabs>
          <w:tab w:val="left" w:pos="567"/>
          <w:tab w:val="left" w:pos="851"/>
        </w:tabs>
        <w:rPr>
          <w:rFonts w:ascii="Arial" w:hAnsi="Arial" w:cs="Arial"/>
          <w:lang w:val="de-CH"/>
        </w:rPr>
      </w:pPr>
      <w:r w:rsidRPr="00232BD7">
        <w:rPr>
          <w:rFonts w:ascii="Arial" w:hAnsi="Arial" w:cs="Arial"/>
          <w:lang w:val="de-CH"/>
        </w:rPr>
        <w:t>Reklamationen betreffend die fakturierten Stunden müssen innert acht Tagen nach Rechnungsstellung erfolgen. Die Rechnungen sind netto innert zehn Tagen zu bezahlen. Im Inkassofall gilt ein Verzugszins von 10% als vereinbart.</w:t>
      </w:r>
    </w:p>
    <w:p w14:paraId="28E099C3" w14:textId="77777777" w:rsidR="0080121E" w:rsidRPr="00232BD7" w:rsidRDefault="0080121E" w:rsidP="00232BD7">
      <w:pPr>
        <w:numPr>
          <w:ilvl w:val="12"/>
          <w:numId w:val="0"/>
        </w:numPr>
        <w:tabs>
          <w:tab w:val="left" w:pos="567"/>
          <w:tab w:val="left" w:pos="851"/>
        </w:tabs>
        <w:ind w:left="283" w:hanging="283"/>
        <w:rPr>
          <w:rFonts w:ascii="Arial" w:hAnsi="Arial" w:cs="Arial"/>
          <w:sz w:val="18"/>
          <w:szCs w:val="18"/>
          <w:lang w:val="de-CH"/>
        </w:rPr>
      </w:pPr>
    </w:p>
    <w:p w14:paraId="4B778BCE" w14:textId="143D9CB0" w:rsidR="0080121E" w:rsidRPr="00232BD7" w:rsidRDefault="0080121E" w:rsidP="00232BD7">
      <w:pPr>
        <w:numPr>
          <w:ilvl w:val="0"/>
          <w:numId w:val="8"/>
        </w:numPr>
        <w:tabs>
          <w:tab w:val="left" w:pos="567"/>
          <w:tab w:val="left" w:pos="851"/>
        </w:tabs>
        <w:ind w:left="284"/>
        <w:rPr>
          <w:rFonts w:ascii="Arial" w:hAnsi="Arial" w:cs="Arial"/>
          <w:lang w:val="de-CH"/>
        </w:rPr>
      </w:pPr>
      <w:r w:rsidRPr="00232BD7">
        <w:rPr>
          <w:rFonts w:ascii="Arial" w:hAnsi="Arial" w:cs="Arial"/>
          <w:lang w:val="de-CH"/>
        </w:rPr>
        <w:t>Der Kunde kann einen Temporären Mitarbeiter nach Einsatzende in ein direktes Anstellungsverhältnis übernehmen. Grundsätzlich ist eine Übernahme kostenlos. Unter folgenden Bedingungen schuldet uns der Kun</w:t>
      </w:r>
      <w:r w:rsidR="00AD7B2F" w:rsidRPr="00232BD7">
        <w:rPr>
          <w:rFonts w:ascii="Arial" w:hAnsi="Arial" w:cs="Arial"/>
          <w:lang w:val="de-CH"/>
        </w:rPr>
        <w:t>de aber eine Entschädigung:</w:t>
      </w:r>
      <w:r w:rsidR="00AD7B2F" w:rsidRPr="00232BD7">
        <w:rPr>
          <w:rFonts w:ascii="Arial" w:hAnsi="Arial" w:cs="Arial"/>
          <w:lang w:val="de-CH"/>
        </w:rPr>
        <w:br/>
      </w:r>
      <w:r w:rsidR="00AD7B2F" w:rsidRPr="00232BD7">
        <w:rPr>
          <w:rFonts w:ascii="Arial" w:hAnsi="Arial" w:cs="Arial"/>
          <w:lang w:val="de-CH"/>
        </w:rPr>
        <w:br/>
        <w:t>1</w:t>
      </w:r>
      <w:r w:rsidRPr="00232BD7">
        <w:rPr>
          <w:rFonts w:ascii="Arial" w:hAnsi="Arial" w:cs="Arial"/>
          <w:lang w:val="de-CH"/>
        </w:rPr>
        <w:t>) Falls der Einsatz weniger als d</w:t>
      </w:r>
      <w:r w:rsidR="00AD7B2F" w:rsidRPr="00232BD7">
        <w:rPr>
          <w:rFonts w:ascii="Arial" w:hAnsi="Arial" w:cs="Arial"/>
          <w:lang w:val="de-CH"/>
        </w:rPr>
        <w:t>rei Monate gedauert hat, und</w:t>
      </w:r>
      <w:r w:rsidR="00AD7B2F" w:rsidRPr="00232BD7">
        <w:rPr>
          <w:rFonts w:ascii="Arial" w:hAnsi="Arial" w:cs="Arial"/>
          <w:lang w:val="de-CH"/>
        </w:rPr>
        <w:br/>
        <w:t>2</w:t>
      </w:r>
      <w:r w:rsidRPr="00232BD7">
        <w:rPr>
          <w:rFonts w:ascii="Arial" w:hAnsi="Arial" w:cs="Arial"/>
          <w:lang w:val="de-CH"/>
        </w:rPr>
        <w:t>) falls die Anstellung weniger als drei Monate nach Einsatzende stattfindet.</w:t>
      </w:r>
      <w:r w:rsidRPr="00232BD7">
        <w:rPr>
          <w:rFonts w:ascii="Arial" w:hAnsi="Arial" w:cs="Arial"/>
          <w:lang w:val="de-CH"/>
        </w:rPr>
        <w:br/>
        <w:t>Die Entschädigung beläuft sich in solchen Fällen auf den Betrag, den der Kunde uns für Verwaltung</w:t>
      </w:r>
      <w:r w:rsidR="00A74605">
        <w:rPr>
          <w:rFonts w:ascii="Arial" w:hAnsi="Arial" w:cs="Arial"/>
          <w:lang w:val="de-CH"/>
        </w:rPr>
        <w:t>s</w:t>
      </w:r>
      <w:r w:rsidRPr="00232BD7">
        <w:rPr>
          <w:rFonts w:ascii="Arial" w:hAnsi="Arial" w:cs="Arial"/>
          <w:lang w:val="de-CH"/>
        </w:rPr>
        <w:t>honorar und Gewinn für den dreimonatigen Einsatz hätte zahlen müssen, wovon aber das</w:t>
      </w:r>
      <w:r w:rsidR="00A74605">
        <w:rPr>
          <w:rFonts w:ascii="Arial" w:hAnsi="Arial" w:cs="Arial"/>
          <w:lang w:val="de-CH"/>
        </w:rPr>
        <w:br/>
      </w:r>
      <w:r w:rsidRPr="00232BD7">
        <w:rPr>
          <w:rFonts w:ascii="Arial" w:hAnsi="Arial" w:cs="Arial"/>
          <w:lang w:val="de-CH"/>
        </w:rPr>
        <w:t>bereits geleistete Entgelt für Verwaltungshonorar und Gewinn abgezogen wird.</w:t>
      </w:r>
    </w:p>
    <w:p w14:paraId="443B3FFE" w14:textId="77777777" w:rsidR="000425AB" w:rsidRPr="00232BD7" w:rsidRDefault="000425AB" w:rsidP="00232BD7">
      <w:pPr>
        <w:tabs>
          <w:tab w:val="left" w:pos="567"/>
          <w:tab w:val="left" w:pos="851"/>
        </w:tabs>
        <w:ind w:left="284"/>
        <w:rPr>
          <w:rFonts w:ascii="Arial" w:hAnsi="Arial" w:cs="Arial"/>
          <w:lang w:val="de-CH"/>
        </w:rPr>
      </w:pPr>
    </w:p>
    <w:p w14:paraId="3012CB2A" w14:textId="5ECE48F6" w:rsidR="0080121E" w:rsidRDefault="00A74605" w:rsidP="00232BD7">
      <w:pPr>
        <w:tabs>
          <w:tab w:val="left" w:pos="567"/>
          <w:tab w:val="left" w:pos="851"/>
        </w:tabs>
        <w:rPr>
          <w:rFonts w:ascii="Arial" w:hAnsi="Arial" w:cs="Arial"/>
        </w:rPr>
      </w:pPr>
      <w:r>
        <w:rPr>
          <w:rFonts w:ascii="Arial" w:hAnsi="Arial" w:cs="Arial"/>
          <w:lang w:val="de-CH"/>
        </w:rPr>
        <w:t>September 2020</w:t>
      </w:r>
    </w:p>
    <w:sectPr w:rsidR="0080121E" w:rsidSect="00A74605">
      <w:pgSz w:w="11907" w:h="16840"/>
      <w:pgMar w:top="1418" w:right="1418" w:bottom="1134" w:left="13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351C5"/>
    <w:multiLevelType w:val="singleLevel"/>
    <w:tmpl w:val="62943A70"/>
    <w:lvl w:ilvl="0">
      <w:start w:val="1"/>
      <w:numFmt w:val="upperLetter"/>
      <w:lvlText w:val="%1)"/>
      <w:legacy w:legacy="1" w:legacySpace="0" w:legacyIndent="283"/>
      <w:lvlJc w:val="left"/>
      <w:pPr>
        <w:ind w:left="283" w:hanging="283"/>
      </w:pPr>
    </w:lvl>
  </w:abstractNum>
  <w:num w:numId="1">
    <w:abstractNumId w:val="0"/>
  </w:num>
  <w:num w:numId="2">
    <w:abstractNumId w:val="0"/>
    <w:lvlOverride w:ilvl="0">
      <w:lvl w:ilvl="0">
        <w:start w:val="1"/>
        <w:numFmt w:val="upperLetter"/>
        <w:lvlText w:val="%1)"/>
        <w:legacy w:legacy="1" w:legacySpace="0" w:legacyIndent="283"/>
        <w:lvlJc w:val="left"/>
        <w:pPr>
          <w:ind w:left="283" w:hanging="283"/>
        </w:pPr>
      </w:lvl>
    </w:lvlOverride>
  </w:num>
  <w:num w:numId="3">
    <w:abstractNumId w:val="0"/>
    <w:lvlOverride w:ilvl="0">
      <w:lvl w:ilvl="0">
        <w:start w:val="1"/>
        <w:numFmt w:val="upperLetter"/>
        <w:lvlText w:val="%1)"/>
        <w:legacy w:legacy="1" w:legacySpace="0" w:legacyIndent="283"/>
        <w:lvlJc w:val="left"/>
        <w:pPr>
          <w:ind w:left="283" w:hanging="283"/>
        </w:pPr>
      </w:lvl>
    </w:lvlOverride>
  </w:num>
  <w:num w:numId="4">
    <w:abstractNumId w:val="0"/>
    <w:lvlOverride w:ilvl="0">
      <w:lvl w:ilvl="0">
        <w:start w:val="1"/>
        <w:numFmt w:val="upperLetter"/>
        <w:lvlText w:val="%1)"/>
        <w:legacy w:legacy="1" w:legacySpace="0" w:legacyIndent="283"/>
        <w:lvlJc w:val="left"/>
        <w:pPr>
          <w:ind w:left="283" w:hanging="283"/>
        </w:pPr>
      </w:lvl>
    </w:lvlOverride>
  </w:num>
  <w:num w:numId="5">
    <w:abstractNumId w:val="0"/>
    <w:lvlOverride w:ilvl="0">
      <w:lvl w:ilvl="0">
        <w:start w:val="1"/>
        <w:numFmt w:val="upperLetter"/>
        <w:lvlText w:val="%1)"/>
        <w:legacy w:legacy="1" w:legacySpace="0" w:legacyIndent="283"/>
        <w:lvlJc w:val="left"/>
        <w:pPr>
          <w:ind w:left="283" w:hanging="283"/>
        </w:pPr>
      </w:lvl>
    </w:lvlOverride>
  </w:num>
  <w:num w:numId="6">
    <w:abstractNumId w:val="0"/>
    <w:lvlOverride w:ilvl="0">
      <w:lvl w:ilvl="0">
        <w:start w:val="1"/>
        <w:numFmt w:val="upperLetter"/>
        <w:lvlText w:val="%1)"/>
        <w:legacy w:legacy="1" w:legacySpace="0" w:legacyIndent="283"/>
        <w:lvlJc w:val="left"/>
        <w:pPr>
          <w:ind w:left="283" w:hanging="283"/>
        </w:pPr>
      </w:lvl>
    </w:lvlOverride>
  </w:num>
  <w:num w:numId="7">
    <w:abstractNumId w:val="0"/>
    <w:lvlOverride w:ilvl="0">
      <w:lvl w:ilvl="0">
        <w:start w:val="1"/>
        <w:numFmt w:val="upperLetter"/>
        <w:lvlText w:val="%1)"/>
        <w:legacy w:legacy="1" w:legacySpace="0" w:legacyIndent="283"/>
        <w:lvlJc w:val="left"/>
        <w:pPr>
          <w:ind w:left="283" w:hanging="283"/>
        </w:pPr>
      </w:lvl>
    </w:lvlOverride>
  </w:num>
  <w:num w:numId="8">
    <w:abstractNumId w:val="0"/>
    <w:lvlOverride w:ilvl="0">
      <w:lvl w:ilvl="0">
        <w:start w:val="1"/>
        <w:numFmt w:val="upperLetter"/>
        <w:lvlText w:val="%1)"/>
        <w:legacy w:legacy="1" w:legacySpace="0" w:legacyIndent="283"/>
        <w:lvlJc w:val="left"/>
        <w:pPr>
          <w:ind w:left="283" w:hanging="283"/>
        </w:pPr>
      </w:lvl>
    </w:lvlOverride>
  </w:num>
  <w:num w:numId="9">
    <w:abstractNumId w:val="0"/>
    <w:lvlOverride w:ilvl="0">
      <w:lvl w:ilvl="0">
        <w:start w:val="1"/>
        <w:numFmt w:val="upperLetter"/>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5AB"/>
    <w:rsid w:val="000425AB"/>
    <w:rsid w:val="000677FD"/>
    <w:rsid w:val="000E2C70"/>
    <w:rsid w:val="001F1005"/>
    <w:rsid w:val="00232BD7"/>
    <w:rsid w:val="00297587"/>
    <w:rsid w:val="002D2083"/>
    <w:rsid w:val="003711C3"/>
    <w:rsid w:val="004065BD"/>
    <w:rsid w:val="004534B0"/>
    <w:rsid w:val="005717CB"/>
    <w:rsid w:val="005835C3"/>
    <w:rsid w:val="0080121E"/>
    <w:rsid w:val="008720F6"/>
    <w:rsid w:val="009A3A12"/>
    <w:rsid w:val="00A20DA3"/>
    <w:rsid w:val="00A74605"/>
    <w:rsid w:val="00AD7B2F"/>
    <w:rsid w:val="00B236DD"/>
    <w:rsid w:val="00E91DB7"/>
    <w:rsid w:val="00FF0C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82407C"/>
  <w15:chartTrackingRefBased/>
  <w15:docId w15:val="{EFF27CC2-367D-43A2-A27E-BB6343D9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3628</Characters>
  <Application>Microsoft Office Word</Application>
  <DocSecurity>0</DocSecurity>
  <Lines>30</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CONDITIONS GENERALES</vt:lpstr>
      <vt:lpstr>CONDITIONS GENERALES</vt:lpstr>
    </vt:vector>
  </TitlesOfParts>
  <Company>Realisator AG</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dc:title>
  <dc:subject/>
  <dc:creator>Netzwerk</dc:creator>
  <cp:keywords/>
  <cp:lastModifiedBy>Geneviève Cecilio</cp:lastModifiedBy>
  <cp:revision>3</cp:revision>
  <cp:lastPrinted>2008-10-10T20:24:00Z</cp:lastPrinted>
  <dcterms:created xsi:type="dcterms:W3CDTF">2020-08-25T07:55:00Z</dcterms:created>
  <dcterms:modified xsi:type="dcterms:W3CDTF">2020-08-25T09:09:00Z</dcterms:modified>
</cp:coreProperties>
</file>